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0" w:rightFromText="140" w:vertAnchor="text" w:horzAnchor="margin" w:tblpXSpec="center" w:tblpY="-940"/>
        <w:tblW w:w="13600" w:type="dxa"/>
        <w:tblBorders>
          <w:top w:val="double" w:sz="2" w:space="0" w:color="333399"/>
          <w:left w:val="double" w:sz="2" w:space="0" w:color="333399"/>
          <w:bottom w:val="double" w:sz="2" w:space="0" w:color="333399"/>
          <w:right w:val="double" w:sz="2" w:space="0" w:color="333399"/>
          <w:insideH w:val="double" w:sz="2" w:space="0" w:color="333399"/>
          <w:insideV w:val="double" w:sz="2" w:space="0" w:color="333399"/>
        </w:tblBorders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394"/>
        <w:gridCol w:w="7088"/>
        <w:gridCol w:w="3118"/>
      </w:tblGrid>
      <w:tr w:rsidR="001A55EC" w14:paraId="15F55651" w14:textId="77777777" w:rsidTr="001A55EC">
        <w:trPr>
          <w:cantSplit/>
          <w:trHeight w:val="1380"/>
        </w:trPr>
        <w:tc>
          <w:tcPr>
            <w:tcW w:w="3394" w:type="dxa"/>
            <w:tcBorders>
              <w:top w:val="double" w:sz="2" w:space="0" w:color="333399"/>
              <w:left w:val="double" w:sz="2" w:space="0" w:color="333399"/>
              <w:bottom w:val="double" w:sz="2" w:space="0" w:color="4472C4"/>
              <w:right w:val="double" w:sz="2" w:space="0" w:color="333399"/>
            </w:tcBorders>
            <w:shd w:val="clear" w:color="auto" w:fill="auto"/>
            <w:vAlign w:val="center"/>
          </w:tcPr>
          <w:p w14:paraId="78812E85" w14:textId="77777777" w:rsidR="001A55EC" w:rsidRDefault="001A55EC" w:rsidP="00555625">
            <w:pPr>
              <w:bidi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</w:pPr>
            <w:r>
              <w:rPr>
                <w:noProof/>
                <w:sz w:val="20"/>
                <w:szCs w:val="20"/>
                <w:lang w:val="en-US" w:eastAsia="zh-CN" w:bidi="ar"/>
              </w:rPr>
              <w:drawing>
                <wp:anchor distT="0" distB="0" distL="114300" distR="114300" simplePos="0" relativeHeight="251659264" behindDoc="1" locked="0" layoutInCell="1" allowOverlap="1" wp14:anchorId="39B77AF5" wp14:editId="4EF4ED1C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635</wp:posOffset>
                  </wp:positionV>
                  <wp:extent cx="807720" cy="807720"/>
                  <wp:effectExtent l="0" t="0" r="0" b="0"/>
                  <wp:wrapNone/>
                  <wp:docPr id="1" name="Image 2" descr="Une image contenant texte, logo, Police, Graphiqu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2" descr="Une image contenant texte, logo, Police, Graphiqu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88" w:type="dxa"/>
            <w:tcBorders>
              <w:top w:val="double" w:sz="2" w:space="0" w:color="333399"/>
              <w:left w:val="double" w:sz="2" w:space="0" w:color="333399"/>
              <w:bottom w:val="double" w:sz="2" w:space="0" w:color="4472C4"/>
              <w:right w:val="double" w:sz="2" w:space="0" w:color="333399"/>
            </w:tcBorders>
            <w:shd w:val="clear" w:color="auto" w:fill="auto"/>
            <w:vAlign w:val="center"/>
          </w:tcPr>
          <w:p w14:paraId="0EE2A9C4" w14:textId="77777777" w:rsidR="001A55EC" w:rsidRDefault="001A55EC" w:rsidP="00555625">
            <w:pPr>
              <w:pStyle w:val="msonospacing0"/>
              <w:bidi/>
              <w:jc w:val="center"/>
              <w:rPr>
                <w:rFonts w:cs="DengXian" w:hint="default"/>
              </w:rPr>
            </w:pPr>
            <w:r>
              <w:rPr>
                <w:rFonts w:cs="DengXian"/>
                <w:noProof/>
                <w:lang w:val="fr" w:eastAsia="fr"/>
              </w:rPr>
              <w:drawing>
                <wp:inline distT="0" distB="0" distL="114300" distR="114300" wp14:anchorId="2539186D" wp14:editId="1A6ACB7E">
                  <wp:extent cx="670560" cy="449580"/>
                  <wp:effectExtent l="0" t="0" r="0" b="7620"/>
                  <wp:docPr id="2" name="Image 4" descr="Sciences et Technologie MESRS | 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4" descr="Sciences et Technologie MESRS | UIT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978B03" w14:textId="77777777" w:rsidR="001A55EC" w:rsidRDefault="001A55EC" w:rsidP="00555625">
            <w:pPr>
              <w:pStyle w:val="msonospacing0"/>
              <w:bidi/>
              <w:jc w:val="center"/>
              <w:rPr>
                <w:rFonts w:cs="DengXian" w:hint="default"/>
                <w:b/>
                <w:bCs/>
                <w:sz w:val="20"/>
                <w:szCs w:val="20"/>
                <w:lang w:val="fr"/>
              </w:rPr>
            </w:pPr>
            <w:proofErr w:type="spellStart"/>
            <w:r>
              <w:rPr>
                <w:rFonts w:cs="DengXian"/>
                <w:b/>
                <w:bCs/>
                <w:sz w:val="20"/>
                <w:szCs w:val="20"/>
                <w:lang w:val="fr"/>
              </w:rPr>
              <w:t>Minist</w:t>
            </w:r>
            <w:proofErr w:type="spellEnd"/>
            <w:r>
              <w:rPr>
                <w:rFonts w:cs="DengXian"/>
                <w:b/>
                <w:bCs/>
                <w:sz w:val="20"/>
                <w:szCs w:val="20"/>
                <w:lang w:val="fr"/>
              </w:rPr>
              <w:t xml:space="preserve">ère de l’Enseignement Supérieur et de la </w:t>
            </w:r>
            <w:r>
              <w:rPr>
                <w:rFonts w:cs="DengXian" w:hint="default"/>
                <w:b/>
                <w:bCs/>
                <w:sz w:val="20"/>
                <w:szCs w:val="20"/>
                <w:lang w:val="fr"/>
              </w:rPr>
              <w:t>R</w:t>
            </w:r>
            <w:r>
              <w:rPr>
                <w:rFonts w:cs="DengXian"/>
                <w:b/>
                <w:bCs/>
                <w:sz w:val="20"/>
                <w:szCs w:val="20"/>
                <w:lang w:val="fr"/>
              </w:rPr>
              <w:t xml:space="preserve">echerche </w:t>
            </w:r>
            <w:r>
              <w:rPr>
                <w:rFonts w:cs="DengXian" w:hint="default"/>
                <w:b/>
                <w:bCs/>
                <w:sz w:val="20"/>
                <w:szCs w:val="20"/>
                <w:lang w:val="fr"/>
              </w:rPr>
              <w:t>S</w:t>
            </w:r>
            <w:r>
              <w:rPr>
                <w:rFonts w:cs="DengXian"/>
                <w:b/>
                <w:bCs/>
                <w:sz w:val="20"/>
                <w:szCs w:val="20"/>
                <w:lang w:val="fr"/>
              </w:rPr>
              <w:t>cientifique</w:t>
            </w:r>
            <w:hyperlink r:id="rId8" w:history="1"/>
          </w:p>
          <w:p w14:paraId="58BCBE84" w14:textId="77777777" w:rsidR="001A55EC" w:rsidRDefault="001A55EC" w:rsidP="00555625">
            <w:pPr>
              <w:pStyle w:val="msonospacing0"/>
              <w:bidi/>
              <w:jc w:val="center"/>
              <w:rPr>
                <w:rFonts w:cs="DengXian" w:hint="default"/>
              </w:rPr>
            </w:pPr>
            <w:hyperlink r:id="rId9" w:history="1">
              <w:r>
                <w:rPr>
                  <w:rStyle w:val="Lienhypertexte"/>
                  <w:rFonts w:hint="cs"/>
                  <w:color w:val="auto"/>
                  <w:sz w:val="20"/>
                  <w:szCs w:val="20"/>
                  <w:rtl/>
                  <w:lang w:bidi="ar"/>
                </w:rPr>
                <w:t>وزارة التعليم العالي والبحث العلمي</w:t>
              </w:r>
            </w:hyperlink>
          </w:p>
        </w:tc>
        <w:tc>
          <w:tcPr>
            <w:tcW w:w="3118" w:type="dxa"/>
            <w:tcBorders>
              <w:top w:val="double" w:sz="2" w:space="0" w:color="4472C4"/>
              <w:left w:val="double" w:sz="2" w:space="0" w:color="333399"/>
              <w:bottom w:val="double" w:sz="2" w:space="0" w:color="4472C4"/>
              <w:right w:val="double" w:sz="2" w:space="0" w:color="333399"/>
            </w:tcBorders>
            <w:shd w:val="clear" w:color="auto" w:fill="auto"/>
            <w:vAlign w:val="center"/>
          </w:tcPr>
          <w:p w14:paraId="5BE5B248" w14:textId="77777777" w:rsidR="001A55EC" w:rsidRDefault="001A55EC" w:rsidP="00555625">
            <w:pPr>
              <w:bidi/>
              <w:jc w:val="center"/>
              <w:rPr>
                <w:rFonts w:ascii="Calibri" w:hAnsi="Calibri" w:cs="Calibri"/>
                <w:color w:val="0F243E"/>
                <w:sz w:val="18"/>
                <w:szCs w:val="18"/>
                <w:lang w:eastAsia="zh-CN"/>
              </w:rPr>
            </w:pPr>
            <w:r>
              <w:rPr>
                <w:noProof/>
                <w:sz w:val="20"/>
                <w:szCs w:val="20"/>
                <w:lang w:val="en-US" w:eastAsia="zh-CN" w:bidi="ar"/>
              </w:rPr>
              <w:drawing>
                <wp:anchor distT="0" distB="0" distL="114300" distR="114300" simplePos="0" relativeHeight="251660288" behindDoc="1" locked="0" layoutInCell="1" allowOverlap="1" wp14:anchorId="0E0D559A" wp14:editId="3099AA9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53975</wp:posOffset>
                  </wp:positionV>
                  <wp:extent cx="1827530" cy="649605"/>
                  <wp:effectExtent l="0" t="0" r="1270" b="5715"/>
                  <wp:wrapNone/>
                  <wp:docPr id="3" name="Image 3" descr="Une image contenant Police, texte, logo, blanc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Une image contenant Police, texte, logo, blanc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530" cy="64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A55EC" w14:paraId="4717F6D7" w14:textId="77777777" w:rsidTr="001A55EC">
        <w:trPr>
          <w:cantSplit/>
          <w:trHeight w:val="380"/>
        </w:trPr>
        <w:tc>
          <w:tcPr>
            <w:tcW w:w="3394" w:type="dxa"/>
            <w:tcBorders>
              <w:top w:val="double" w:sz="2" w:space="0" w:color="4472C4"/>
              <w:left w:val="double" w:sz="2" w:space="0" w:color="333399"/>
              <w:bottom w:val="double" w:sz="2" w:space="0" w:color="4472C4"/>
              <w:right w:val="double" w:sz="2" w:space="0" w:color="333399"/>
            </w:tcBorders>
            <w:shd w:val="clear" w:color="auto" w:fill="auto"/>
            <w:vAlign w:val="center"/>
          </w:tcPr>
          <w:p w14:paraId="7FFD12F3" w14:textId="18BB01C6" w:rsidR="001A55EC" w:rsidRDefault="001A55EC" w:rsidP="00555625">
            <w:pPr>
              <w:bidi/>
              <w:rPr>
                <w:rFonts w:cs="DengXi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cs="DengXian"/>
                <w:b/>
                <w:bCs/>
                <w:sz w:val="16"/>
                <w:szCs w:val="16"/>
                <w:lang w:val="en-US" w:eastAsia="zh-CN" w:bidi="ar"/>
              </w:rPr>
              <w:t xml:space="preserve">Date de </w:t>
            </w:r>
            <w:proofErr w:type="spellStart"/>
            <w:r>
              <w:rPr>
                <w:rFonts w:cs="DengXian"/>
                <w:b/>
                <w:bCs/>
                <w:sz w:val="16"/>
                <w:szCs w:val="16"/>
                <w:lang w:val="en-US" w:eastAsia="zh-CN" w:bidi="ar"/>
              </w:rPr>
              <w:t>création</w:t>
            </w:r>
            <w:proofErr w:type="spellEnd"/>
            <w:r>
              <w:rPr>
                <w:rFonts w:cs="DengXian"/>
                <w:b/>
                <w:bCs/>
                <w:sz w:val="16"/>
                <w:szCs w:val="16"/>
                <w:lang w:val="en-US" w:eastAsia="zh-CN" w:bidi="ar"/>
              </w:rPr>
              <w:t>:</w:t>
            </w:r>
            <w:r>
              <w:rPr>
                <w:rFonts w:cs="DengXian"/>
                <w:b/>
                <w:bCs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cs="DengXian"/>
                <w:b/>
                <w:bCs/>
                <w:sz w:val="18"/>
                <w:szCs w:val="18"/>
                <w:lang w:val="en-US" w:eastAsia="zh-CN" w:bidi="ar"/>
              </w:rPr>
              <w:t>24</w:t>
            </w:r>
            <w:r>
              <w:rPr>
                <w:rFonts w:cs="DengXian"/>
                <w:b/>
                <w:bCs/>
                <w:sz w:val="18"/>
                <w:szCs w:val="18"/>
                <w:lang w:val="en-US" w:eastAsia="zh-CN" w:bidi="ar"/>
              </w:rPr>
              <w:t>/0</w:t>
            </w:r>
            <w:r>
              <w:rPr>
                <w:rFonts w:cs="DengXian"/>
                <w:b/>
                <w:bCs/>
                <w:sz w:val="18"/>
                <w:szCs w:val="18"/>
                <w:lang w:val="en-US" w:eastAsia="zh-CN" w:bidi="ar"/>
              </w:rPr>
              <w:t>9</w:t>
            </w:r>
            <w:r>
              <w:rPr>
                <w:rFonts w:cs="DengXian"/>
                <w:b/>
                <w:bCs/>
                <w:sz w:val="18"/>
                <w:szCs w:val="18"/>
                <w:lang w:val="en-US" w:eastAsia="zh-CN" w:bidi="ar"/>
              </w:rPr>
              <w:t>/202</w:t>
            </w:r>
            <w:r>
              <w:rPr>
                <w:rFonts w:cs="DengXian"/>
                <w:b/>
                <w:bCs/>
                <w:sz w:val="18"/>
                <w:szCs w:val="18"/>
                <w:lang w:eastAsia="zh-CN" w:bidi="ar"/>
              </w:rPr>
              <w:t>6</w:t>
            </w:r>
          </w:p>
        </w:tc>
        <w:tc>
          <w:tcPr>
            <w:tcW w:w="7088" w:type="dxa"/>
            <w:tcBorders>
              <w:top w:val="double" w:sz="2" w:space="0" w:color="4472C4"/>
              <w:left w:val="double" w:sz="2" w:space="0" w:color="333399"/>
              <w:bottom w:val="double" w:sz="2" w:space="0" w:color="4472C4"/>
              <w:right w:val="double" w:sz="2" w:space="0" w:color="333399"/>
            </w:tcBorders>
            <w:shd w:val="clear" w:color="auto" w:fill="auto"/>
            <w:vAlign w:val="center"/>
          </w:tcPr>
          <w:p w14:paraId="2ACCF6F4" w14:textId="77777777" w:rsidR="001A55EC" w:rsidRDefault="001A55EC" w:rsidP="00555625">
            <w:pPr>
              <w:bidi/>
              <w:jc w:val="center"/>
              <w:rPr>
                <w:rFonts w:cs="DengXian"/>
                <w:b/>
                <w:bCs/>
                <w:lang w:eastAsia="zh-CN"/>
              </w:rPr>
            </w:pPr>
            <w:r>
              <w:rPr>
                <w:rFonts w:cs="DengXian"/>
                <w:b/>
                <w:bCs/>
                <w:lang w:eastAsia="zh-CN"/>
              </w:rPr>
              <w:t>Avis</w:t>
            </w:r>
          </w:p>
        </w:tc>
        <w:tc>
          <w:tcPr>
            <w:tcW w:w="3118" w:type="dxa"/>
            <w:vMerge w:val="restart"/>
            <w:tcBorders>
              <w:top w:val="double" w:sz="2" w:space="0" w:color="4472C4"/>
              <w:left w:val="double" w:sz="2" w:space="0" w:color="333399"/>
              <w:bottom w:val="double" w:sz="2" w:space="0" w:color="333399"/>
              <w:right w:val="double" w:sz="2" w:space="0" w:color="333399"/>
            </w:tcBorders>
            <w:shd w:val="clear" w:color="auto" w:fill="auto"/>
            <w:vAlign w:val="center"/>
          </w:tcPr>
          <w:p w14:paraId="142AC017" w14:textId="25A0D1E6" w:rsidR="001A55EC" w:rsidRDefault="001A55EC" w:rsidP="00555625">
            <w:pPr>
              <w:bidi/>
              <w:jc w:val="center"/>
              <w:rPr>
                <w:rFonts w:ascii="Calibri" w:hAnsi="Calibri" w:cs="Calibri"/>
                <w:b/>
                <w:bCs/>
                <w:color w:val="0F243E"/>
                <w:lang w:eastAsia="zh-CN"/>
              </w:rPr>
            </w:pPr>
            <w:r>
              <w:rPr>
                <w:rFonts w:ascii="Calibri" w:hAnsi="Calibri" w:cs="Calibri"/>
                <w:b/>
                <w:bCs/>
                <w:color w:val="0F243E"/>
                <w:sz w:val="20"/>
                <w:szCs w:val="20"/>
                <w:lang w:eastAsia="zh-CN" w:bidi="ar"/>
              </w:rPr>
              <w:t>PGS</w:t>
            </w:r>
            <w:r>
              <w:rPr>
                <w:rFonts w:ascii="Calibri" w:hAnsi="Calibri" w:cs="Calibri"/>
                <w:b/>
                <w:bCs/>
                <w:color w:val="0F243E"/>
                <w:sz w:val="20"/>
                <w:szCs w:val="20"/>
                <w:lang w:val="en-US" w:eastAsia="zh-CN" w:bidi="ar"/>
              </w:rPr>
              <w:t>-A</w:t>
            </w:r>
            <w:r>
              <w:rPr>
                <w:rFonts w:ascii="Calibri" w:hAnsi="Calibri" w:cs="Calibri"/>
                <w:b/>
                <w:bCs/>
                <w:color w:val="0F243E"/>
                <w:sz w:val="20"/>
                <w:szCs w:val="20"/>
                <w:lang w:eastAsia="zh-CN" w:bidi="ar"/>
              </w:rPr>
              <w:t>V</w:t>
            </w:r>
            <w:r>
              <w:rPr>
                <w:rFonts w:ascii="Calibri" w:hAnsi="Calibri" w:cs="Calibri"/>
                <w:b/>
                <w:bCs/>
                <w:color w:val="0F243E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ascii="Calibri" w:hAnsi="Calibri" w:cs="Calibri"/>
                <w:b/>
                <w:bCs/>
                <w:color w:val="0F243E"/>
                <w:sz w:val="20"/>
                <w:szCs w:val="20"/>
                <w:lang w:val="en-US" w:eastAsia="zh-CN" w:bidi="ar"/>
              </w:rPr>
              <w:t>03</w:t>
            </w:r>
            <w:r>
              <w:rPr>
                <w:rFonts w:ascii="Calibri" w:hAnsi="Calibri" w:cs="Calibri"/>
                <w:b/>
                <w:bCs/>
                <w:color w:val="0F243E"/>
                <w:sz w:val="20"/>
                <w:szCs w:val="20"/>
                <w:lang w:val="en-US" w:eastAsia="zh-CN" w:bidi="ar"/>
              </w:rPr>
              <w:t>-00</w:t>
            </w:r>
          </w:p>
        </w:tc>
      </w:tr>
      <w:tr w:rsidR="001A55EC" w14:paraId="460E9D5B" w14:textId="77777777" w:rsidTr="001A55EC">
        <w:trPr>
          <w:cantSplit/>
          <w:trHeight w:val="380"/>
        </w:trPr>
        <w:tc>
          <w:tcPr>
            <w:tcW w:w="3394" w:type="dxa"/>
            <w:tcBorders>
              <w:top w:val="double" w:sz="2" w:space="0" w:color="4472C4"/>
              <w:left w:val="double" w:sz="2" w:space="0" w:color="333399"/>
              <w:bottom w:val="double" w:sz="2" w:space="0" w:color="4472C4"/>
              <w:right w:val="double" w:sz="2" w:space="0" w:color="333399"/>
            </w:tcBorders>
            <w:shd w:val="clear" w:color="auto" w:fill="auto"/>
            <w:vAlign w:val="center"/>
          </w:tcPr>
          <w:p w14:paraId="7D6570B1" w14:textId="37F68BB7" w:rsidR="001A55EC" w:rsidRDefault="001A55EC" w:rsidP="00555625">
            <w:pPr>
              <w:bidi/>
              <w:rPr>
                <w:rFonts w:cs="DengXi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DengXian"/>
                <w:b/>
                <w:bCs/>
                <w:sz w:val="20"/>
                <w:szCs w:val="20"/>
                <w:lang w:val="en-US" w:eastAsia="zh-CN" w:bidi="ar"/>
              </w:rPr>
              <w:t xml:space="preserve">Pages </w:t>
            </w:r>
            <w:r>
              <w:rPr>
                <w:rFonts w:cs="DengXian"/>
                <w:b/>
                <w:bCs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cs="DengXian"/>
                <w:b/>
                <w:bCs/>
                <w:sz w:val="20"/>
                <w:szCs w:val="20"/>
                <w:lang w:val="en-US" w:eastAsia="zh-CN" w:bidi="ar"/>
              </w:rPr>
              <w:t>/</w:t>
            </w:r>
            <w:r>
              <w:rPr>
                <w:rFonts w:cs="DengXian"/>
                <w:b/>
                <w:bCs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088" w:type="dxa"/>
            <w:tcBorders>
              <w:top w:val="double" w:sz="2" w:space="0" w:color="4472C4"/>
              <w:left w:val="double" w:sz="2" w:space="0" w:color="333399"/>
              <w:bottom w:val="double" w:sz="2" w:space="0" w:color="4472C4"/>
              <w:right w:val="double" w:sz="2" w:space="0" w:color="333399"/>
            </w:tcBorders>
            <w:shd w:val="clear" w:color="auto" w:fill="auto"/>
            <w:vAlign w:val="center"/>
          </w:tcPr>
          <w:p w14:paraId="37A1274B" w14:textId="3244A7C1" w:rsidR="001A55EC" w:rsidRDefault="001A55EC" w:rsidP="001A55EC">
            <w:pPr>
              <w:bidi/>
              <w:jc w:val="center"/>
              <w:rPr>
                <w:rFonts w:cs="DengXian"/>
                <w:b/>
                <w:bCs/>
              </w:rPr>
            </w:pPr>
            <w:r>
              <w:rPr>
                <w:rFonts w:cs="DengXian"/>
                <w:b/>
                <w:bCs/>
              </w:rPr>
              <w:t>E</w:t>
            </w:r>
            <w:r w:rsidRPr="001A55EC">
              <w:rPr>
                <w:rFonts w:cs="DengXian"/>
                <w:b/>
                <w:bCs/>
              </w:rPr>
              <w:t>quivalences modules ancienne/n</w:t>
            </w:r>
            <w:r>
              <w:rPr>
                <w:rFonts w:cs="DengXian"/>
                <w:b/>
                <w:bCs/>
              </w:rPr>
              <w:t>ouv</w:t>
            </w:r>
            <w:r w:rsidRPr="001A55EC">
              <w:rPr>
                <w:rFonts w:cs="DengXian"/>
                <w:b/>
                <w:bCs/>
              </w:rPr>
              <w:t>elle licence</w:t>
            </w:r>
          </w:p>
        </w:tc>
        <w:tc>
          <w:tcPr>
            <w:tcW w:w="3118" w:type="dxa"/>
            <w:vMerge/>
            <w:tcBorders>
              <w:top w:val="double" w:sz="2" w:space="0" w:color="4472C4"/>
              <w:left w:val="double" w:sz="2" w:space="0" w:color="333399"/>
              <w:bottom w:val="double" w:sz="2" w:space="0" w:color="333399"/>
              <w:right w:val="double" w:sz="2" w:space="0" w:color="333399"/>
            </w:tcBorders>
            <w:shd w:val="clear" w:color="auto" w:fill="auto"/>
            <w:vAlign w:val="center"/>
          </w:tcPr>
          <w:p w14:paraId="3C6D3ECA" w14:textId="77777777" w:rsidR="001A55EC" w:rsidRDefault="001A55EC" w:rsidP="00555625">
            <w:pPr>
              <w:bidi/>
              <w:rPr>
                <w:sz w:val="20"/>
                <w:szCs w:val="20"/>
              </w:rPr>
            </w:pPr>
          </w:p>
        </w:tc>
      </w:tr>
    </w:tbl>
    <w:p w14:paraId="1368D3E5" w14:textId="77777777" w:rsidR="004E4491" w:rsidRDefault="004E4491" w:rsidP="001A55EC">
      <w:pPr>
        <w:rPr>
          <w:b/>
          <w:bCs/>
          <w:sz w:val="32"/>
          <w:szCs w:val="32"/>
        </w:rPr>
      </w:pPr>
    </w:p>
    <w:p w14:paraId="4497BD7E" w14:textId="30DFC3D7" w:rsidR="004E4491" w:rsidRDefault="004E4491" w:rsidP="00000D1C">
      <w:pPr>
        <w:jc w:val="center"/>
        <w:rPr>
          <w:b/>
          <w:bCs/>
          <w:sz w:val="32"/>
          <w:szCs w:val="32"/>
        </w:rPr>
      </w:pPr>
      <w:r w:rsidRPr="004E4491">
        <w:rPr>
          <w:b/>
          <w:bCs/>
          <w:sz w:val="32"/>
          <w:szCs w:val="32"/>
        </w:rPr>
        <w:t>Equivalences des modules première année entre l’ancienne et la nouvelle licence LSG de l’IHEC Carthage</w:t>
      </w:r>
    </w:p>
    <w:p w14:paraId="7A6BE7E0" w14:textId="77777777" w:rsidR="004E4491" w:rsidRDefault="004E4491" w:rsidP="00000D1C">
      <w:pPr>
        <w:jc w:val="center"/>
        <w:rPr>
          <w:b/>
          <w:bCs/>
          <w:sz w:val="32"/>
          <w:szCs w:val="32"/>
        </w:rPr>
      </w:pPr>
    </w:p>
    <w:p w14:paraId="0889308D" w14:textId="77777777" w:rsidR="004E4491" w:rsidRPr="004E4491" w:rsidRDefault="004E4491" w:rsidP="004E4491">
      <w:pPr>
        <w:jc w:val="both"/>
        <w:rPr>
          <w:rFonts w:asciiTheme="minorBidi" w:hAnsiTheme="minorBidi"/>
          <w:sz w:val="32"/>
          <w:szCs w:val="32"/>
        </w:rPr>
      </w:pPr>
      <w:r w:rsidRPr="004E4491">
        <w:rPr>
          <w:rFonts w:asciiTheme="minorBidi" w:hAnsiTheme="minorBidi"/>
          <w:sz w:val="32"/>
          <w:szCs w:val="32"/>
        </w:rPr>
        <w:t>Les équivalences présentées dans le tableau ci-dessous sont provisoires. Elles sont susceptibles de faire l’objet de modifications, en tout ou en partie, à la suite de la décision du Conseil scientifique de l’IHEC Carthage, prévue au mois d’octobre.</w:t>
      </w:r>
    </w:p>
    <w:p w14:paraId="12183C89" w14:textId="77777777" w:rsidR="004E4491" w:rsidRPr="004E4491" w:rsidRDefault="004E4491" w:rsidP="004E4491">
      <w:pPr>
        <w:jc w:val="both"/>
        <w:rPr>
          <w:rFonts w:asciiTheme="minorBidi" w:hAnsiTheme="minorBidi"/>
          <w:sz w:val="32"/>
          <w:szCs w:val="32"/>
        </w:rPr>
      </w:pPr>
      <w:r w:rsidRPr="004E4491">
        <w:rPr>
          <w:rFonts w:asciiTheme="minorBidi" w:hAnsiTheme="minorBidi"/>
          <w:sz w:val="32"/>
          <w:szCs w:val="32"/>
        </w:rPr>
        <w:t xml:space="preserve">Dans l’attente de cette décision, il est vivement </w:t>
      </w:r>
      <w:r w:rsidRPr="004E4491">
        <w:rPr>
          <w:rFonts w:asciiTheme="minorBidi" w:hAnsiTheme="minorBidi"/>
          <w:sz w:val="32"/>
          <w:szCs w:val="32"/>
          <w:highlight w:val="yellow"/>
        </w:rPr>
        <w:t xml:space="preserve">recommandé aux étudiants redoublants et </w:t>
      </w:r>
      <w:proofErr w:type="spellStart"/>
      <w:r w:rsidRPr="004E4491">
        <w:rPr>
          <w:rFonts w:asciiTheme="minorBidi" w:hAnsiTheme="minorBidi"/>
          <w:sz w:val="32"/>
          <w:szCs w:val="32"/>
          <w:highlight w:val="yellow"/>
        </w:rPr>
        <w:t>dérogataires</w:t>
      </w:r>
      <w:proofErr w:type="spellEnd"/>
      <w:r w:rsidRPr="004E4491">
        <w:rPr>
          <w:rFonts w:asciiTheme="minorBidi" w:hAnsiTheme="minorBidi"/>
          <w:sz w:val="32"/>
          <w:szCs w:val="32"/>
          <w:highlight w:val="yellow"/>
        </w:rPr>
        <w:t xml:space="preserve"> de suivre les nouveaux enseignements</w:t>
      </w:r>
      <w:r w:rsidRPr="004E4491">
        <w:rPr>
          <w:rFonts w:asciiTheme="minorBidi" w:hAnsiTheme="minorBidi"/>
          <w:sz w:val="32"/>
          <w:szCs w:val="32"/>
        </w:rPr>
        <w:t>, notamment les enseignements dispensés sous le régime du contrôle continu et qui ne sont pas concernés par les sessions de rattrapage.</w:t>
      </w:r>
    </w:p>
    <w:p w14:paraId="46D71DCA" w14:textId="77777777" w:rsidR="004E4491" w:rsidRPr="004E4491" w:rsidRDefault="004E4491" w:rsidP="004E4491">
      <w:pPr>
        <w:jc w:val="both"/>
        <w:rPr>
          <w:rFonts w:asciiTheme="minorBidi" w:hAnsiTheme="minorBidi"/>
          <w:sz w:val="32"/>
          <w:szCs w:val="32"/>
        </w:rPr>
      </w:pPr>
      <w:r w:rsidRPr="004E4491">
        <w:rPr>
          <w:rFonts w:asciiTheme="minorBidi" w:hAnsiTheme="minorBidi"/>
          <w:sz w:val="32"/>
          <w:szCs w:val="32"/>
        </w:rPr>
        <w:t>Cette recommandation vise à leur permettre d’acquérir les compétences correspondant à la nouvelle maquette de formation et à éviter toute difficulté éventuelle en cas d’évolution des équivalences.</w:t>
      </w:r>
    </w:p>
    <w:p w14:paraId="1354B1F8" w14:textId="77777777" w:rsidR="004E4491" w:rsidRDefault="004E4491" w:rsidP="00000D1C">
      <w:pPr>
        <w:jc w:val="center"/>
        <w:rPr>
          <w:b/>
          <w:bCs/>
          <w:sz w:val="28"/>
          <w:szCs w:val="28"/>
        </w:rPr>
      </w:pPr>
    </w:p>
    <w:p w14:paraId="253A2039" w14:textId="77777777" w:rsidR="004E4491" w:rsidRDefault="004E4491" w:rsidP="00000D1C">
      <w:pPr>
        <w:jc w:val="center"/>
        <w:rPr>
          <w:b/>
          <w:bCs/>
          <w:sz w:val="28"/>
          <w:szCs w:val="28"/>
        </w:rPr>
      </w:pPr>
    </w:p>
    <w:p w14:paraId="7B6F50CE" w14:textId="77777777" w:rsidR="004E4491" w:rsidRDefault="004E4491" w:rsidP="001A55EC">
      <w:pPr>
        <w:rPr>
          <w:b/>
          <w:bCs/>
          <w:sz w:val="28"/>
          <w:szCs w:val="28"/>
        </w:rPr>
      </w:pPr>
    </w:p>
    <w:p w14:paraId="406640DE" w14:textId="77777777" w:rsidR="004E4491" w:rsidRDefault="004E4491" w:rsidP="00000D1C">
      <w:pPr>
        <w:jc w:val="center"/>
        <w:rPr>
          <w:b/>
          <w:bCs/>
          <w:sz w:val="28"/>
          <w:szCs w:val="28"/>
        </w:rPr>
      </w:pPr>
    </w:p>
    <w:p w14:paraId="3CD479B9" w14:textId="333C23E7" w:rsidR="00000D1C" w:rsidRPr="00C5787C" w:rsidRDefault="00000D1C" w:rsidP="00000D1C">
      <w:pPr>
        <w:jc w:val="center"/>
        <w:rPr>
          <w:b/>
          <w:bCs/>
          <w:sz w:val="28"/>
          <w:szCs w:val="28"/>
        </w:rPr>
      </w:pPr>
      <w:r w:rsidRPr="00C5787C">
        <w:rPr>
          <w:b/>
          <w:bCs/>
          <w:sz w:val="28"/>
          <w:szCs w:val="28"/>
        </w:rPr>
        <w:t>Tableau d’équivalence Ancienne Licence et nouvelles licence S1 et S2</w:t>
      </w:r>
    </w:p>
    <w:p w14:paraId="3E4E904A" w14:textId="77777777" w:rsidR="00000D1C" w:rsidRDefault="00000D1C" w:rsidP="00000D1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96"/>
        <w:gridCol w:w="957"/>
        <w:gridCol w:w="2987"/>
        <w:gridCol w:w="2779"/>
        <w:gridCol w:w="2434"/>
        <w:gridCol w:w="2641"/>
      </w:tblGrid>
      <w:tr w:rsidR="00000D1C" w:rsidRPr="002D4B7D" w14:paraId="651957EE" w14:textId="77777777" w:rsidTr="004E4491">
        <w:tc>
          <w:tcPr>
            <w:tcW w:w="0" w:type="auto"/>
            <w:shd w:val="clear" w:color="auto" w:fill="002060"/>
            <w:hideMark/>
          </w:tcPr>
          <w:p w14:paraId="670237CE" w14:textId="77777777" w:rsidR="00000D1C" w:rsidRPr="002D4B7D" w:rsidRDefault="00000D1C" w:rsidP="00555625">
            <w:pPr>
              <w:spacing w:after="160" w:line="259" w:lineRule="auto"/>
              <w:rPr>
                <w:b/>
                <w:bCs/>
              </w:rPr>
            </w:pPr>
            <w:r w:rsidRPr="002D4B7D">
              <w:rPr>
                <w:b/>
                <w:bCs/>
              </w:rPr>
              <w:t>Semestre dans la nouvelle licence</w:t>
            </w:r>
          </w:p>
        </w:tc>
        <w:tc>
          <w:tcPr>
            <w:tcW w:w="0" w:type="auto"/>
            <w:shd w:val="clear" w:color="auto" w:fill="002060"/>
            <w:hideMark/>
          </w:tcPr>
          <w:p w14:paraId="5B23BA44" w14:textId="77777777" w:rsidR="00000D1C" w:rsidRPr="002D4B7D" w:rsidRDefault="00000D1C" w:rsidP="00555625">
            <w:pPr>
              <w:spacing w:after="160" w:line="259" w:lineRule="auto"/>
              <w:rPr>
                <w:b/>
                <w:bCs/>
              </w:rPr>
            </w:pPr>
            <w:r w:rsidRPr="002D4B7D">
              <w:rPr>
                <w:b/>
                <w:bCs/>
              </w:rPr>
              <w:t>UE</w:t>
            </w:r>
          </w:p>
        </w:tc>
        <w:tc>
          <w:tcPr>
            <w:tcW w:w="0" w:type="auto"/>
            <w:shd w:val="clear" w:color="auto" w:fill="002060"/>
            <w:hideMark/>
          </w:tcPr>
          <w:p w14:paraId="04ADBA25" w14:textId="77777777" w:rsidR="00000D1C" w:rsidRPr="002D4B7D" w:rsidRDefault="00000D1C" w:rsidP="00555625">
            <w:pPr>
              <w:spacing w:after="160" w:line="259" w:lineRule="auto"/>
              <w:rPr>
                <w:b/>
                <w:bCs/>
              </w:rPr>
            </w:pPr>
            <w:r w:rsidRPr="002D4B7D">
              <w:rPr>
                <w:b/>
                <w:bCs/>
              </w:rPr>
              <w:t>Élément constitutif – ancienne licence</w:t>
            </w:r>
          </w:p>
        </w:tc>
        <w:tc>
          <w:tcPr>
            <w:tcW w:w="0" w:type="auto"/>
            <w:shd w:val="clear" w:color="auto" w:fill="002060"/>
            <w:hideMark/>
          </w:tcPr>
          <w:p w14:paraId="17CABF16" w14:textId="77777777" w:rsidR="00000D1C" w:rsidRPr="002D4B7D" w:rsidRDefault="00000D1C" w:rsidP="00555625">
            <w:pPr>
              <w:spacing w:after="160" w:line="259" w:lineRule="auto"/>
              <w:rPr>
                <w:b/>
                <w:bCs/>
              </w:rPr>
            </w:pPr>
            <w:r w:rsidRPr="002D4B7D">
              <w:rPr>
                <w:b/>
                <w:bCs/>
              </w:rPr>
              <w:t>Élément constitutif – nouvelle licence</w:t>
            </w:r>
          </w:p>
        </w:tc>
        <w:tc>
          <w:tcPr>
            <w:tcW w:w="0" w:type="auto"/>
            <w:shd w:val="clear" w:color="auto" w:fill="002060"/>
            <w:hideMark/>
          </w:tcPr>
          <w:p w14:paraId="581177D2" w14:textId="77777777" w:rsidR="00000D1C" w:rsidRPr="002D4B7D" w:rsidRDefault="00000D1C" w:rsidP="00555625">
            <w:pPr>
              <w:spacing w:after="160" w:line="259" w:lineRule="auto"/>
              <w:rPr>
                <w:b/>
                <w:bCs/>
              </w:rPr>
            </w:pPr>
            <w:r w:rsidRPr="002D4B7D">
              <w:rPr>
                <w:b/>
                <w:bCs/>
              </w:rPr>
              <w:t>Régime d’examen de la nouvelle licence</w:t>
            </w:r>
          </w:p>
        </w:tc>
        <w:tc>
          <w:tcPr>
            <w:tcW w:w="0" w:type="auto"/>
            <w:shd w:val="clear" w:color="auto" w:fill="002060"/>
            <w:hideMark/>
          </w:tcPr>
          <w:p w14:paraId="312EA269" w14:textId="77777777" w:rsidR="00000D1C" w:rsidRPr="002D4B7D" w:rsidRDefault="00000D1C" w:rsidP="00555625">
            <w:pPr>
              <w:spacing w:after="160" w:line="259" w:lineRule="auto"/>
              <w:rPr>
                <w:b/>
                <w:bCs/>
              </w:rPr>
            </w:pPr>
            <w:r w:rsidRPr="002D4B7D">
              <w:rPr>
                <w:b/>
                <w:bCs/>
              </w:rPr>
              <w:t>Situation du redoublant</w:t>
            </w:r>
          </w:p>
        </w:tc>
      </w:tr>
      <w:tr w:rsidR="004E4491" w:rsidRPr="002D4B7D" w14:paraId="39ED4CC3" w14:textId="77777777" w:rsidTr="004E4491">
        <w:tc>
          <w:tcPr>
            <w:tcW w:w="0" w:type="auto"/>
            <w:hideMark/>
          </w:tcPr>
          <w:p w14:paraId="184F31BC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3133BED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UEF110</w:t>
            </w:r>
          </w:p>
        </w:tc>
        <w:tc>
          <w:tcPr>
            <w:tcW w:w="0" w:type="auto"/>
            <w:hideMark/>
          </w:tcPr>
          <w:p w14:paraId="292CBA70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Principes de gestion 1</w:t>
            </w:r>
          </w:p>
        </w:tc>
        <w:tc>
          <w:tcPr>
            <w:tcW w:w="0" w:type="auto"/>
            <w:hideMark/>
          </w:tcPr>
          <w:p w14:paraId="33F911FC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Principes de Gestion</w:t>
            </w:r>
          </w:p>
        </w:tc>
        <w:tc>
          <w:tcPr>
            <w:tcW w:w="0" w:type="auto"/>
            <w:hideMark/>
          </w:tcPr>
          <w:p w14:paraId="7533CC5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5F32C646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42AD1D44" w14:textId="77777777" w:rsidTr="004E4491">
        <w:tc>
          <w:tcPr>
            <w:tcW w:w="0" w:type="auto"/>
            <w:hideMark/>
          </w:tcPr>
          <w:p w14:paraId="5FA6ACCE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18403E1E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UEF120</w:t>
            </w:r>
          </w:p>
        </w:tc>
        <w:tc>
          <w:tcPr>
            <w:tcW w:w="0" w:type="auto"/>
            <w:hideMark/>
          </w:tcPr>
          <w:p w14:paraId="739BD239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Mathématiques financières</w:t>
            </w:r>
          </w:p>
        </w:tc>
        <w:tc>
          <w:tcPr>
            <w:tcW w:w="0" w:type="auto"/>
            <w:hideMark/>
          </w:tcPr>
          <w:p w14:paraId="3BDCBFEE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Principes de la Finance</w:t>
            </w:r>
          </w:p>
        </w:tc>
        <w:tc>
          <w:tcPr>
            <w:tcW w:w="0" w:type="auto"/>
            <w:hideMark/>
          </w:tcPr>
          <w:p w14:paraId="1EBBE49B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293DCB4D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455A3C29" w14:textId="77777777" w:rsidTr="004E4491">
        <w:tc>
          <w:tcPr>
            <w:tcW w:w="0" w:type="auto"/>
            <w:hideMark/>
          </w:tcPr>
          <w:p w14:paraId="0648A0CF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2B4DD647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UEF130</w:t>
            </w:r>
          </w:p>
        </w:tc>
        <w:tc>
          <w:tcPr>
            <w:tcW w:w="0" w:type="auto"/>
            <w:hideMark/>
          </w:tcPr>
          <w:p w14:paraId="64223AA8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Comptabilité Financière I</w:t>
            </w:r>
          </w:p>
        </w:tc>
        <w:tc>
          <w:tcPr>
            <w:tcW w:w="0" w:type="auto"/>
            <w:hideMark/>
          </w:tcPr>
          <w:p w14:paraId="1031293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Comptabilité Financière 1</w:t>
            </w:r>
          </w:p>
        </w:tc>
        <w:tc>
          <w:tcPr>
            <w:tcW w:w="0" w:type="auto"/>
            <w:hideMark/>
          </w:tcPr>
          <w:p w14:paraId="4906987E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1D14E321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2A83F6A4" w14:textId="77777777" w:rsidTr="004E4491">
        <w:tc>
          <w:tcPr>
            <w:tcW w:w="0" w:type="auto"/>
            <w:hideMark/>
          </w:tcPr>
          <w:p w14:paraId="31C2BC33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16BAB910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UEF140</w:t>
            </w:r>
          </w:p>
        </w:tc>
        <w:tc>
          <w:tcPr>
            <w:tcW w:w="0" w:type="auto"/>
            <w:hideMark/>
          </w:tcPr>
          <w:p w14:paraId="145A47B3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 xml:space="preserve">Macroéconomie </w:t>
            </w:r>
            <w:r w:rsidRPr="002D4B7D">
              <w:rPr>
                <w:i/>
                <w:iCs/>
              </w:rPr>
              <w:t>(ancienne S2)</w:t>
            </w:r>
          </w:p>
        </w:tc>
        <w:tc>
          <w:tcPr>
            <w:tcW w:w="0" w:type="auto"/>
            <w:hideMark/>
          </w:tcPr>
          <w:p w14:paraId="667D49EF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Macroéconomie</w:t>
            </w:r>
          </w:p>
        </w:tc>
        <w:tc>
          <w:tcPr>
            <w:tcW w:w="0" w:type="auto"/>
            <w:hideMark/>
          </w:tcPr>
          <w:p w14:paraId="6F8A4098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25DD0134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7EBD0E33" w14:textId="77777777" w:rsidTr="004E4491">
        <w:tc>
          <w:tcPr>
            <w:tcW w:w="0" w:type="auto"/>
            <w:hideMark/>
          </w:tcPr>
          <w:p w14:paraId="2399C7BF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5D90BFE1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UEF140</w:t>
            </w:r>
          </w:p>
        </w:tc>
        <w:tc>
          <w:tcPr>
            <w:tcW w:w="0" w:type="auto"/>
            <w:hideMark/>
          </w:tcPr>
          <w:p w14:paraId="151DFE3F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Introduction au Droit</w:t>
            </w:r>
          </w:p>
        </w:tc>
        <w:tc>
          <w:tcPr>
            <w:tcW w:w="0" w:type="auto"/>
            <w:hideMark/>
          </w:tcPr>
          <w:p w14:paraId="3AAF72C1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Business Law</w:t>
            </w:r>
          </w:p>
        </w:tc>
        <w:tc>
          <w:tcPr>
            <w:tcW w:w="0" w:type="auto"/>
            <w:hideMark/>
          </w:tcPr>
          <w:p w14:paraId="77D234F8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56470CA6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044ACF99" w14:textId="77777777" w:rsidTr="004E4491">
        <w:tc>
          <w:tcPr>
            <w:tcW w:w="0" w:type="auto"/>
            <w:hideMark/>
          </w:tcPr>
          <w:p w14:paraId="35D6A8D3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0717688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UEF150</w:t>
            </w:r>
          </w:p>
        </w:tc>
        <w:tc>
          <w:tcPr>
            <w:tcW w:w="0" w:type="auto"/>
            <w:hideMark/>
          </w:tcPr>
          <w:p w14:paraId="28115CD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Mathématique 1</w:t>
            </w:r>
          </w:p>
        </w:tc>
        <w:tc>
          <w:tcPr>
            <w:tcW w:w="0" w:type="auto"/>
            <w:hideMark/>
          </w:tcPr>
          <w:p w14:paraId="3D2318CB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Mathématiques 1</w:t>
            </w:r>
          </w:p>
        </w:tc>
        <w:tc>
          <w:tcPr>
            <w:tcW w:w="0" w:type="auto"/>
            <w:hideMark/>
          </w:tcPr>
          <w:p w14:paraId="067AED2E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34E9B17D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2DA74ACE" w14:textId="77777777" w:rsidTr="004E4491">
        <w:tc>
          <w:tcPr>
            <w:tcW w:w="0" w:type="auto"/>
            <w:hideMark/>
          </w:tcPr>
          <w:p w14:paraId="450AC320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48EC7259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UET110</w:t>
            </w:r>
          </w:p>
        </w:tc>
        <w:tc>
          <w:tcPr>
            <w:tcW w:w="0" w:type="auto"/>
            <w:hideMark/>
          </w:tcPr>
          <w:p w14:paraId="31EBA45D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Anglais 1</w:t>
            </w:r>
          </w:p>
        </w:tc>
        <w:tc>
          <w:tcPr>
            <w:tcW w:w="0" w:type="auto"/>
            <w:hideMark/>
          </w:tcPr>
          <w:p w14:paraId="380D4A12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Compétences linguistiques : Français</w:t>
            </w:r>
          </w:p>
        </w:tc>
        <w:tc>
          <w:tcPr>
            <w:tcW w:w="0" w:type="auto"/>
            <w:hideMark/>
          </w:tcPr>
          <w:p w14:paraId="70DF568C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Contrôle continu</w:t>
            </w:r>
          </w:p>
        </w:tc>
        <w:tc>
          <w:tcPr>
            <w:tcW w:w="0" w:type="auto"/>
            <w:hideMark/>
          </w:tcPr>
          <w:p w14:paraId="43083A09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8A0FB2" w:rsidRPr="002D4B7D" w14:paraId="09A9929B" w14:textId="77777777" w:rsidTr="004E4491">
        <w:tc>
          <w:tcPr>
            <w:tcW w:w="0" w:type="auto"/>
            <w:shd w:val="clear" w:color="auto" w:fill="4EA72E" w:themeFill="accent6"/>
            <w:hideMark/>
          </w:tcPr>
          <w:p w14:paraId="05ED8B0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S1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04FAEB8D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UET110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292B448F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—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7BF1EE99" w14:textId="77777777" w:rsidR="00000D1C" w:rsidRPr="002D4B7D" w:rsidRDefault="00000D1C" w:rsidP="00555625">
            <w:pPr>
              <w:spacing w:after="160" w:line="259" w:lineRule="auto"/>
            </w:pPr>
            <w:proofErr w:type="spellStart"/>
            <w:r w:rsidRPr="002D4B7D">
              <w:t>Study</w:t>
            </w:r>
            <w:proofErr w:type="spellEnd"/>
            <w:r w:rsidRPr="002D4B7D">
              <w:t xml:space="preserve"> </w:t>
            </w:r>
            <w:proofErr w:type="spellStart"/>
            <w:r w:rsidRPr="002D4B7D">
              <w:t>skills</w:t>
            </w:r>
            <w:proofErr w:type="spellEnd"/>
            <w:r w:rsidRPr="002D4B7D">
              <w:t xml:space="preserve"> : Étudier à l'université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0B5B5CD2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Contrôle continu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4B0493DE" w14:textId="5AC52EE9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À passer</w:t>
            </w:r>
            <w:r w:rsidR="004E4491">
              <w:rPr>
                <w:b/>
                <w:bCs/>
              </w:rPr>
              <w:t xml:space="preserve"> pour tous les redoublants</w:t>
            </w:r>
          </w:p>
        </w:tc>
      </w:tr>
      <w:tr w:rsidR="004E4491" w:rsidRPr="002D4B7D" w14:paraId="0B8D3969" w14:textId="77777777" w:rsidTr="004E4491">
        <w:tc>
          <w:tcPr>
            <w:tcW w:w="0" w:type="auto"/>
            <w:hideMark/>
          </w:tcPr>
          <w:p w14:paraId="4969E773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7EE107E2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UET110</w:t>
            </w:r>
          </w:p>
        </w:tc>
        <w:tc>
          <w:tcPr>
            <w:tcW w:w="0" w:type="auto"/>
            <w:hideMark/>
          </w:tcPr>
          <w:p w14:paraId="19F85287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Compétences digitales – C2i</w:t>
            </w:r>
          </w:p>
        </w:tc>
        <w:tc>
          <w:tcPr>
            <w:tcW w:w="0" w:type="auto"/>
            <w:hideMark/>
          </w:tcPr>
          <w:p w14:paraId="6682CE6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Outils collaboratifs &amp; Excel avancé</w:t>
            </w:r>
          </w:p>
        </w:tc>
        <w:tc>
          <w:tcPr>
            <w:tcW w:w="0" w:type="auto"/>
            <w:hideMark/>
          </w:tcPr>
          <w:p w14:paraId="4334F23A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Contrôle continu</w:t>
            </w:r>
          </w:p>
        </w:tc>
        <w:tc>
          <w:tcPr>
            <w:tcW w:w="0" w:type="auto"/>
            <w:hideMark/>
          </w:tcPr>
          <w:p w14:paraId="613D665F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55F0BE2E" w14:textId="77777777" w:rsidTr="004E4491">
        <w:tc>
          <w:tcPr>
            <w:tcW w:w="0" w:type="auto"/>
            <w:hideMark/>
          </w:tcPr>
          <w:p w14:paraId="43E01E07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lastRenderedPageBreak/>
              <w:t>S2</w:t>
            </w:r>
          </w:p>
        </w:tc>
        <w:tc>
          <w:tcPr>
            <w:tcW w:w="0" w:type="auto"/>
            <w:hideMark/>
          </w:tcPr>
          <w:p w14:paraId="07ECC4D1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UEF210</w:t>
            </w:r>
          </w:p>
        </w:tc>
        <w:tc>
          <w:tcPr>
            <w:tcW w:w="0" w:type="auto"/>
            <w:hideMark/>
          </w:tcPr>
          <w:p w14:paraId="21474A56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Principes de Gestion 2</w:t>
            </w:r>
          </w:p>
        </w:tc>
        <w:tc>
          <w:tcPr>
            <w:tcW w:w="0" w:type="auto"/>
            <w:hideMark/>
          </w:tcPr>
          <w:p w14:paraId="46FB98DD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Fondements du management</w:t>
            </w:r>
          </w:p>
        </w:tc>
        <w:tc>
          <w:tcPr>
            <w:tcW w:w="0" w:type="auto"/>
            <w:hideMark/>
          </w:tcPr>
          <w:p w14:paraId="3D242509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2EADA070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Équivalence à accorder</w:t>
            </w:r>
          </w:p>
        </w:tc>
      </w:tr>
      <w:tr w:rsidR="008A0FB2" w:rsidRPr="002D4B7D" w14:paraId="13AA9DF1" w14:textId="77777777" w:rsidTr="004E4491">
        <w:trPr>
          <w:trHeight w:val="70"/>
        </w:trPr>
        <w:tc>
          <w:tcPr>
            <w:tcW w:w="0" w:type="auto"/>
            <w:shd w:val="clear" w:color="auto" w:fill="4EA72E" w:themeFill="accent6"/>
            <w:hideMark/>
          </w:tcPr>
          <w:p w14:paraId="0FBCCE38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S2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593FF636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UEF210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05D5547B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—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6416A482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Base de données et SQL (activité pratique)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53B20769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Contrôle continu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6FD32E78" w14:textId="5B9CE26E" w:rsidR="00000D1C" w:rsidRPr="002D4B7D" w:rsidRDefault="004E4491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À passer</w:t>
            </w:r>
            <w:r>
              <w:rPr>
                <w:b/>
                <w:bCs/>
              </w:rPr>
              <w:t xml:space="preserve"> pour tous les redoublants</w:t>
            </w:r>
          </w:p>
        </w:tc>
      </w:tr>
      <w:tr w:rsidR="004E4491" w:rsidRPr="002D4B7D" w14:paraId="78BE36D3" w14:textId="77777777" w:rsidTr="004E4491">
        <w:tc>
          <w:tcPr>
            <w:tcW w:w="0" w:type="auto"/>
            <w:hideMark/>
          </w:tcPr>
          <w:p w14:paraId="1379F33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S2</w:t>
            </w:r>
          </w:p>
        </w:tc>
        <w:tc>
          <w:tcPr>
            <w:tcW w:w="0" w:type="auto"/>
            <w:hideMark/>
          </w:tcPr>
          <w:p w14:paraId="4873E4C3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UEF220</w:t>
            </w:r>
          </w:p>
        </w:tc>
        <w:tc>
          <w:tcPr>
            <w:tcW w:w="0" w:type="auto"/>
            <w:hideMark/>
          </w:tcPr>
          <w:p w14:paraId="211BE2A3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Comptabilité Financière II</w:t>
            </w:r>
          </w:p>
        </w:tc>
        <w:tc>
          <w:tcPr>
            <w:tcW w:w="0" w:type="auto"/>
            <w:hideMark/>
          </w:tcPr>
          <w:p w14:paraId="45D239DE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Comptabilité Financière 2</w:t>
            </w:r>
          </w:p>
        </w:tc>
        <w:tc>
          <w:tcPr>
            <w:tcW w:w="0" w:type="auto"/>
            <w:hideMark/>
          </w:tcPr>
          <w:p w14:paraId="2D02CB66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5F41C20C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3E768D5F" w14:textId="77777777" w:rsidTr="004E4491">
        <w:tc>
          <w:tcPr>
            <w:tcW w:w="0" w:type="auto"/>
            <w:hideMark/>
          </w:tcPr>
          <w:p w14:paraId="344A2F2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S2</w:t>
            </w:r>
          </w:p>
        </w:tc>
        <w:tc>
          <w:tcPr>
            <w:tcW w:w="0" w:type="auto"/>
            <w:hideMark/>
          </w:tcPr>
          <w:p w14:paraId="1CFF66E6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UEF230</w:t>
            </w:r>
          </w:p>
        </w:tc>
        <w:tc>
          <w:tcPr>
            <w:tcW w:w="0" w:type="auto"/>
            <w:hideMark/>
          </w:tcPr>
          <w:p w14:paraId="0D1B51D6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Mathématique 2</w:t>
            </w:r>
          </w:p>
        </w:tc>
        <w:tc>
          <w:tcPr>
            <w:tcW w:w="0" w:type="auto"/>
            <w:hideMark/>
          </w:tcPr>
          <w:p w14:paraId="6C1F2EC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Mathématiques 2</w:t>
            </w:r>
          </w:p>
        </w:tc>
        <w:tc>
          <w:tcPr>
            <w:tcW w:w="0" w:type="auto"/>
            <w:hideMark/>
          </w:tcPr>
          <w:p w14:paraId="035225F8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01874BE0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4FA2E792" w14:textId="77777777" w:rsidTr="004E4491">
        <w:tc>
          <w:tcPr>
            <w:tcW w:w="0" w:type="auto"/>
            <w:hideMark/>
          </w:tcPr>
          <w:p w14:paraId="651A3A70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S2</w:t>
            </w:r>
          </w:p>
        </w:tc>
        <w:tc>
          <w:tcPr>
            <w:tcW w:w="0" w:type="auto"/>
            <w:hideMark/>
          </w:tcPr>
          <w:p w14:paraId="3A40CBFB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UEF240</w:t>
            </w:r>
          </w:p>
        </w:tc>
        <w:tc>
          <w:tcPr>
            <w:tcW w:w="0" w:type="auto"/>
            <w:hideMark/>
          </w:tcPr>
          <w:p w14:paraId="62DE283C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Microéconomie</w:t>
            </w:r>
          </w:p>
        </w:tc>
        <w:tc>
          <w:tcPr>
            <w:tcW w:w="0" w:type="auto"/>
            <w:hideMark/>
          </w:tcPr>
          <w:p w14:paraId="7FBA6DA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Microéconomie</w:t>
            </w:r>
          </w:p>
        </w:tc>
        <w:tc>
          <w:tcPr>
            <w:tcW w:w="0" w:type="auto"/>
            <w:hideMark/>
          </w:tcPr>
          <w:p w14:paraId="2E0D49B4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4ED1547C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4E4491" w:rsidRPr="002D4B7D" w14:paraId="318327A4" w14:textId="77777777" w:rsidTr="004E4491">
        <w:tc>
          <w:tcPr>
            <w:tcW w:w="0" w:type="auto"/>
            <w:hideMark/>
          </w:tcPr>
          <w:p w14:paraId="379AB3AA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S2</w:t>
            </w:r>
          </w:p>
        </w:tc>
        <w:tc>
          <w:tcPr>
            <w:tcW w:w="0" w:type="auto"/>
            <w:hideMark/>
          </w:tcPr>
          <w:p w14:paraId="44EB629D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UEF250</w:t>
            </w:r>
          </w:p>
        </w:tc>
        <w:tc>
          <w:tcPr>
            <w:tcW w:w="0" w:type="auto"/>
            <w:hideMark/>
          </w:tcPr>
          <w:p w14:paraId="1533036B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Droit des Sociétés Commerciales</w:t>
            </w:r>
          </w:p>
        </w:tc>
        <w:tc>
          <w:tcPr>
            <w:tcW w:w="0" w:type="auto"/>
            <w:hideMark/>
          </w:tcPr>
          <w:p w14:paraId="6116E64D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Droit des sociétés commerciales</w:t>
            </w:r>
          </w:p>
        </w:tc>
        <w:tc>
          <w:tcPr>
            <w:tcW w:w="0" w:type="auto"/>
            <w:hideMark/>
          </w:tcPr>
          <w:p w14:paraId="468E0E49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Régime mixte</w:t>
            </w:r>
          </w:p>
        </w:tc>
        <w:tc>
          <w:tcPr>
            <w:tcW w:w="0" w:type="auto"/>
            <w:hideMark/>
          </w:tcPr>
          <w:p w14:paraId="52C6D917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8A0FB2" w:rsidRPr="002D4B7D" w14:paraId="7D1C07A1" w14:textId="77777777" w:rsidTr="004E4491">
        <w:tc>
          <w:tcPr>
            <w:tcW w:w="0" w:type="auto"/>
            <w:shd w:val="clear" w:color="auto" w:fill="4EA72E" w:themeFill="accent6"/>
            <w:hideMark/>
          </w:tcPr>
          <w:p w14:paraId="0F9481B8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S2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4F4119BA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UEF250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0F84E305" w14:textId="77777777" w:rsidR="00000D1C" w:rsidRPr="00EA4177" w:rsidRDefault="00000D1C" w:rsidP="00555625">
            <w:pPr>
              <w:spacing w:after="160" w:line="259" w:lineRule="auto"/>
            </w:pPr>
            <w:r w:rsidRPr="00EA4177">
              <w:t>Compétences digitales</w:t>
            </w:r>
          </w:p>
          <w:p w14:paraId="7805E040" w14:textId="77777777" w:rsidR="00000D1C" w:rsidRPr="002D4B7D" w:rsidRDefault="00000D1C" w:rsidP="00555625">
            <w:pPr>
              <w:spacing w:after="160" w:line="259" w:lineRule="auto"/>
            </w:pPr>
            <w:r w:rsidRPr="00EA4177">
              <w:rPr>
                <w:i/>
                <w:iCs/>
              </w:rPr>
              <w:t>Création et gestion de site Web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1478E240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Programmation pour la gestion (Python/R)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7C8C7369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Contrôle continu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33346BE5" w14:textId="5C0F17B8" w:rsidR="00000D1C" w:rsidRPr="002D4B7D" w:rsidRDefault="004E4491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À passer</w:t>
            </w:r>
            <w:r>
              <w:rPr>
                <w:b/>
                <w:bCs/>
              </w:rPr>
              <w:t xml:space="preserve"> pour tous les redoublants</w:t>
            </w:r>
          </w:p>
        </w:tc>
      </w:tr>
      <w:tr w:rsidR="004E4491" w:rsidRPr="002D4B7D" w14:paraId="3F2C6056" w14:textId="77777777" w:rsidTr="004E4491">
        <w:tc>
          <w:tcPr>
            <w:tcW w:w="0" w:type="auto"/>
            <w:hideMark/>
          </w:tcPr>
          <w:p w14:paraId="375DAAB8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S2</w:t>
            </w:r>
          </w:p>
        </w:tc>
        <w:tc>
          <w:tcPr>
            <w:tcW w:w="0" w:type="auto"/>
            <w:hideMark/>
          </w:tcPr>
          <w:p w14:paraId="1F6B18CE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UET210</w:t>
            </w:r>
          </w:p>
        </w:tc>
        <w:tc>
          <w:tcPr>
            <w:tcW w:w="0" w:type="auto"/>
            <w:hideMark/>
          </w:tcPr>
          <w:p w14:paraId="6AA36702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 xml:space="preserve">Anglais </w:t>
            </w:r>
            <w:r>
              <w:t>1</w:t>
            </w:r>
          </w:p>
        </w:tc>
        <w:tc>
          <w:tcPr>
            <w:tcW w:w="0" w:type="auto"/>
            <w:hideMark/>
          </w:tcPr>
          <w:p w14:paraId="19B39F3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Compétences linguistiques : Français</w:t>
            </w:r>
          </w:p>
        </w:tc>
        <w:tc>
          <w:tcPr>
            <w:tcW w:w="0" w:type="auto"/>
            <w:hideMark/>
          </w:tcPr>
          <w:p w14:paraId="1AEF61D0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Contrôle continu</w:t>
            </w:r>
          </w:p>
        </w:tc>
        <w:tc>
          <w:tcPr>
            <w:tcW w:w="0" w:type="auto"/>
            <w:hideMark/>
          </w:tcPr>
          <w:p w14:paraId="6C882CD2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8A0FB2" w:rsidRPr="002D4B7D" w14:paraId="443969BC" w14:textId="77777777" w:rsidTr="004E4491">
        <w:tc>
          <w:tcPr>
            <w:tcW w:w="0" w:type="auto"/>
            <w:shd w:val="clear" w:color="auto" w:fill="4EA72E" w:themeFill="accent6"/>
            <w:hideMark/>
          </w:tcPr>
          <w:p w14:paraId="24789A63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S2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41C784F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UET210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1E447F4D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—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44D46DB6" w14:textId="77777777" w:rsidR="00000D1C" w:rsidRPr="002D4B7D" w:rsidRDefault="00000D1C" w:rsidP="00555625">
            <w:pPr>
              <w:spacing w:after="160" w:line="259" w:lineRule="auto"/>
            </w:pPr>
            <w:proofErr w:type="spellStart"/>
            <w:r w:rsidRPr="002D4B7D">
              <w:t>Study</w:t>
            </w:r>
            <w:proofErr w:type="spellEnd"/>
            <w:r w:rsidRPr="002D4B7D">
              <w:t xml:space="preserve"> </w:t>
            </w:r>
            <w:proofErr w:type="spellStart"/>
            <w:r w:rsidRPr="002D4B7D">
              <w:t>skills</w:t>
            </w:r>
            <w:proofErr w:type="spellEnd"/>
            <w:r w:rsidRPr="002D4B7D">
              <w:t xml:space="preserve"> : Apprendre à apprendre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2481B68F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Contrôle continu</w:t>
            </w:r>
          </w:p>
        </w:tc>
        <w:tc>
          <w:tcPr>
            <w:tcW w:w="0" w:type="auto"/>
            <w:shd w:val="clear" w:color="auto" w:fill="4EA72E" w:themeFill="accent6"/>
            <w:hideMark/>
          </w:tcPr>
          <w:p w14:paraId="1F4564D1" w14:textId="11C2E76F" w:rsidR="00000D1C" w:rsidRPr="002D4B7D" w:rsidRDefault="004E4491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À passer</w:t>
            </w:r>
            <w:r>
              <w:rPr>
                <w:b/>
                <w:bCs/>
              </w:rPr>
              <w:t xml:space="preserve"> pour tous les redoublants</w:t>
            </w:r>
          </w:p>
        </w:tc>
      </w:tr>
      <w:tr w:rsidR="004E4491" w:rsidRPr="002D4B7D" w14:paraId="43148D17" w14:textId="77777777" w:rsidTr="004E4491">
        <w:tc>
          <w:tcPr>
            <w:tcW w:w="0" w:type="auto"/>
            <w:hideMark/>
          </w:tcPr>
          <w:p w14:paraId="699A39E5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S2</w:t>
            </w:r>
          </w:p>
        </w:tc>
        <w:tc>
          <w:tcPr>
            <w:tcW w:w="0" w:type="auto"/>
            <w:hideMark/>
          </w:tcPr>
          <w:p w14:paraId="5CABF5E8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UET210</w:t>
            </w:r>
          </w:p>
        </w:tc>
        <w:tc>
          <w:tcPr>
            <w:tcW w:w="0" w:type="auto"/>
            <w:hideMark/>
          </w:tcPr>
          <w:p w14:paraId="4C05BED1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Anglais 2</w:t>
            </w:r>
          </w:p>
        </w:tc>
        <w:tc>
          <w:tcPr>
            <w:tcW w:w="0" w:type="auto"/>
            <w:hideMark/>
          </w:tcPr>
          <w:p w14:paraId="1376233B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Compétences linguistiques : Anglais</w:t>
            </w:r>
          </w:p>
        </w:tc>
        <w:tc>
          <w:tcPr>
            <w:tcW w:w="0" w:type="auto"/>
            <w:hideMark/>
          </w:tcPr>
          <w:p w14:paraId="363256F7" w14:textId="77777777" w:rsidR="00000D1C" w:rsidRPr="002D4B7D" w:rsidRDefault="00000D1C" w:rsidP="00555625">
            <w:pPr>
              <w:spacing w:after="160" w:line="259" w:lineRule="auto"/>
            </w:pPr>
            <w:r w:rsidRPr="002D4B7D">
              <w:t>Contrôle continu</w:t>
            </w:r>
          </w:p>
        </w:tc>
        <w:tc>
          <w:tcPr>
            <w:tcW w:w="0" w:type="auto"/>
            <w:hideMark/>
          </w:tcPr>
          <w:p w14:paraId="443F14FA" w14:textId="77777777" w:rsidR="00000D1C" w:rsidRPr="002D4B7D" w:rsidRDefault="00000D1C" w:rsidP="00555625">
            <w:pPr>
              <w:spacing w:after="160" w:line="259" w:lineRule="auto"/>
            </w:pPr>
            <w:r w:rsidRPr="002D4B7D">
              <w:rPr>
                <w:b/>
                <w:bCs/>
              </w:rPr>
              <w:t>Validé si l’ancienne matière est validée</w:t>
            </w:r>
          </w:p>
        </w:tc>
      </w:tr>
      <w:tr w:rsidR="00000D1C" w:rsidRPr="002D4B7D" w14:paraId="7CD14D08" w14:textId="77777777" w:rsidTr="004E4491">
        <w:tc>
          <w:tcPr>
            <w:tcW w:w="0" w:type="auto"/>
          </w:tcPr>
          <w:p w14:paraId="06759622" w14:textId="77777777" w:rsidR="00000D1C" w:rsidRPr="002D4B7D" w:rsidRDefault="00000D1C" w:rsidP="00555625">
            <w:pPr>
              <w:rPr>
                <w:b/>
                <w:bCs/>
              </w:rPr>
            </w:pPr>
            <w:r>
              <w:rPr>
                <w:b/>
                <w:bCs/>
              </w:rPr>
              <w:t>S2</w:t>
            </w:r>
          </w:p>
        </w:tc>
        <w:tc>
          <w:tcPr>
            <w:tcW w:w="0" w:type="auto"/>
          </w:tcPr>
          <w:p w14:paraId="680D439B" w14:textId="77777777" w:rsidR="00000D1C" w:rsidRPr="002D4B7D" w:rsidRDefault="00000D1C" w:rsidP="00555625"/>
        </w:tc>
        <w:tc>
          <w:tcPr>
            <w:tcW w:w="0" w:type="auto"/>
          </w:tcPr>
          <w:p w14:paraId="5FE7866B" w14:textId="77777777" w:rsidR="00000D1C" w:rsidRPr="002D4B7D" w:rsidRDefault="00000D1C" w:rsidP="00555625">
            <w:r w:rsidRPr="00EA4177">
              <w:t>Statistique Descriptive et Calculs de Probabilité</w:t>
            </w:r>
          </w:p>
        </w:tc>
        <w:tc>
          <w:tcPr>
            <w:tcW w:w="0" w:type="auto"/>
          </w:tcPr>
          <w:p w14:paraId="501CB367" w14:textId="77777777" w:rsidR="00000D1C" w:rsidRPr="002D4B7D" w:rsidRDefault="00000D1C" w:rsidP="00555625">
            <w:r>
              <w:t>-</w:t>
            </w:r>
          </w:p>
        </w:tc>
        <w:tc>
          <w:tcPr>
            <w:tcW w:w="0" w:type="auto"/>
          </w:tcPr>
          <w:p w14:paraId="781B4BE8" w14:textId="77777777" w:rsidR="00000D1C" w:rsidRPr="002D4B7D" w:rsidRDefault="00000D1C" w:rsidP="00555625">
            <w:r w:rsidRPr="002D4B7D">
              <w:t>Régime mixte</w:t>
            </w:r>
          </w:p>
        </w:tc>
        <w:tc>
          <w:tcPr>
            <w:tcW w:w="0" w:type="auto"/>
          </w:tcPr>
          <w:p w14:paraId="4A3C0D26" w14:textId="77777777" w:rsidR="00000D1C" w:rsidRPr="002D4B7D" w:rsidRDefault="00000D1C" w:rsidP="00555625">
            <w:pPr>
              <w:rPr>
                <w:b/>
                <w:bCs/>
              </w:rPr>
            </w:pPr>
            <w:r>
              <w:rPr>
                <w:b/>
                <w:bCs/>
              </w:rPr>
              <w:t>Pas d’équivalence</w:t>
            </w:r>
          </w:p>
        </w:tc>
      </w:tr>
    </w:tbl>
    <w:p w14:paraId="77BDE79A" w14:textId="77777777" w:rsidR="00FC5753" w:rsidRDefault="00FC5753"/>
    <w:sectPr w:rsidR="00FC5753" w:rsidSect="00000D1C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33E08" w14:textId="77777777" w:rsidR="006E1C34" w:rsidRDefault="006E1C34" w:rsidP="00000D1C">
      <w:pPr>
        <w:spacing w:after="0" w:line="240" w:lineRule="auto"/>
      </w:pPr>
      <w:r>
        <w:separator/>
      </w:r>
    </w:p>
  </w:endnote>
  <w:endnote w:type="continuationSeparator" w:id="0">
    <w:p w14:paraId="2AD7B711" w14:textId="77777777" w:rsidR="006E1C34" w:rsidRDefault="006E1C34" w:rsidP="00000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8799993"/>
      <w:docPartObj>
        <w:docPartGallery w:val="Page Numbers (Bottom of Page)"/>
        <w:docPartUnique/>
      </w:docPartObj>
    </w:sdtPr>
    <w:sdtContent>
      <w:p w14:paraId="2D34D793" w14:textId="0C0CA2F8" w:rsidR="00000D1C" w:rsidRDefault="00000D1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08B393" w14:textId="77777777" w:rsidR="00000D1C" w:rsidRDefault="00000D1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6E3DE" w14:textId="77777777" w:rsidR="006E1C34" w:rsidRDefault="006E1C34" w:rsidP="00000D1C">
      <w:pPr>
        <w:spacing w:after="0" w:line="240" w:lineRule="auto"/>
      </w:pPr>
      <w:r>
        <w:separator/>
      </w:r>
    </w:p>
  </w:footnote>
  <w:footnote w:type="continuationSeparator" w:id="0">
    <w:p w14:paraId="0B954EBB" w14:textId="77777777" w:rsidR="006E1C34" w:rsidRDefault="006E1C34" w:rsidP="00000D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1C"/>
    <w:rsid w:val="00000D1C"/>
    <w:rsid w:val="001A55EC"/>
    <w:rsid w:val="004E4491"/>
    <w:rsid w:val="005B2949"/>
    <w:rsid w:val="006229BE"/>
    <w:rsid w:val="006E1C34"/>
    <w:rsid w:val="006E3DC4"/>
    <w:rsid w:val="008A0FB2"/>
    <w:rsid w:val="00C76127"/>
    <w:rsid w:val="00FC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C8B6E"/>
  <w15:chartTrackingRefBased/>
  <w15:docId w15:val="{E7F41AE8-FC8A-45D2-BF26-211C941B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D1C"/>
  </w:style>
  <w:style w:type="paragraph" w:styleId="Titre1">
    <w:name w:val="heading 1"/>
    <w:basedOn w:val="Normal"/>
    <w:next w:val="Normal"/>
    <w:link w:val="Titre1Car"/>
    <w:uiPriority w:val="9"/>
    <w:qFormat/>
    <w:rsid w:val="00000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0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0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0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0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0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0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0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0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0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0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0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0D1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0D1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0D1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0D1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0D1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0D1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0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0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0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0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0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0D1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0D1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0D1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0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0D1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0D1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00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00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0D1C"/>
  </w:style>
  <w:style w:type="paragraph" w:styleId="Pieddepage">
    <w:name w:val="footer"/>
    <w:basedOn w:val="Normal"/>
    <w:link w:val="PieddepageCar"/>
    <w:uiPriority w:val="99"/>
    <w:unhideWhenUsed/>
    <w:rsid w:val="00000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0D1C"/>
  </w:style>
  <w:style w:type="character" w:styleId="Lienhypertexte">
    <w:name w:val="Hyperlink"/>
    <w:basedOn w:val="Policepardfaut"/>
    <w:uiPriority w:val="99"/>
    <w:unhideWhenUsed/>
    <w:rsid w:val="001A55E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A55EC"/>
    <w:rPr>
      <w:color w:val="605E5C"/>
      <w:shd w:val="clear" w:color="auto" w:fill="E1DFDD"/>
    </w:rPr>
  </w:style>
  <w:style w:type="paragraph" w:customStyle="1" w:styleId="msonospacing0">
    <w:name w:val="msonospacing"/>
    <w:rsid w:val="001A55EC"/>
    <w:pPr>
      <w:spacing w:after="0" w:line="240" w:lineRule="auto"/>
    </w:pPr>
    <w:rPr>
      <w:rFonts w:ascii="DengXian" w:eastAsia="DengXian" w:hAnsi="DengXian" w:cs="Times New Roman" w:hint="eastAsia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.tn/evenement_video.php?code_menu=2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s://www.mes.tn/evenement_video.php?code_menu=2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Bahi</dc:creator>
  <cp:keywords/>
  <dc:description/>
  <cp:lastModifiedBy>Sami Bahi</cp:lastModifiedBy>
  <cp:revision>2</cp:revision>
  <dcterms:created xsi:type="dcterms:W3CDTF">2026-09-24T11:01:00Z</dcterms:created>
  <dcterms:modified xsi:type="dcterms:W3CDTF">2026-09-24T11:01:00Z</dcterms:modified>
</cp:coreProperties>
</file>